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33</w:t>
      </w:r>
    </w:p>
    <w:p>
      <w:r>
        <w:t>Bundesgericht (BGE), 1981-08-26, FR</w:t>
      </w:r>
    </w:p>
    <w:p>
      <w:r>
        <w:rPr>
          <w:b/>
        </w:rPr>
        <w:t xml:space="preserve">Quelle: </w:t>
      </w:r>
      <w:r>
        <w:t>https://mcp.opencaselaw.ch/entscheid/bge_108 III 33</w:t>
      </w:r>
    </w:p>
    <w:p>
      <w:r>
        <w:t>FR: ATF 108 III 33</w:t>
      </w:r>
    </w:p>
    <w:p>
      <w:r>
        <w:t>IT: DTF 108 III 33</w:t>
      </w:r>
    </w:p>
    <w:p>
      <w:pPr>
        <w:pStyle w:val="Heading2"/>
      </w:pPr>
      <w:r>
        <w:t>Regeste</w:t>
      </w:r>
    </w:p>
    <w:p>
      <w:r>
        <w:t>Regeste Art. 265 Abs. 2 SchKG; Erlangung neuen Vermögens. Berücksichtigung des Sparanteils einer gemischten Lebensversicherung, die zur Sicherstellung von Bankkonten hingegeben wurde, bei der Festsetzung des pfändbaren Betrages nach Erlangung neuen Vermögens.</w:t>
      </w:r>
    </w:p>
    <w:p>
      <w:pPr>
        <w:pStyle w:val="Heading2"/>
      </w:pPr>
      <w:r>
        <w:t>Erwägungen</w:t>
      </w:r>
    </w:p>
    <w:p>
      <w:r>
        <w:rPr>
          <w:b/>
        </w:rPr>
        <w:t>E. 2</w:t>
      </w:r>
    </w:p>
    <w:p>
      <w:r>
        <w:t>Les instances cantonales ont considéré que la presque totalité des primes de deux assurances-vie mixtes constituent en réalité une épargne. Il s'agit d'un montant fixé à 440 fr. par mois. Certes, ces deux assurances ont été données en garantie de comptes bancaires ouverts en faveur du commerce géré par le recourant et son épouse. Elles représentent cependant une épargne à partir du moment de leur conclusion (l'une d'elles prévoit même une participation aux bénéfices), dont le bénéficiaire pourra disposer lorsque les crédits bancaires auront été remboursés ou à tout le moins dans la mesure où les montants assurés dépasseront ces crédits. Avec raison, l'intimé relève que les assurances mixtes, dès lors qu'elles comprennent une partie prépondérante d'épargne, doivent être prises en considération pour le calcul de la somme saisissable après retour à meilleure fortune. C'est donc à juste titre que les autorités cantonales ont tenu compte de la partie des primes qui ne constitue pas la couverture d'un risque pur mais une épargne. Partant, elles n'ont pas fait une application arbitraire de l'art. 265 al. 2 LP, en fixant à 440 fr. le montant saisissable du revenu.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